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仿宋_GB2312" w:hAnsi="仿宋_GB2312" w:eastAsia="仿宋_GB2312" w:cs="仿宋_GB2312"/>
          <w:sz w:val="36"/>
          <w:szCs w:val="36"/>
        </w:rPr>
      </w:pPr>
      <w:r>
        <w:rPr>
          <w:rFonts w:hint="eastAsia" w:ascii="仿宋_GB2312" w:hAnsi="仿宋_GB2312" w:eastAsia="仿宋_GB2312" w:cs="仿宋_GB2312"/>
          <w:sz w:val="32"/>
          <w:szCs w:val="32"/>
        </w:rPr>
        <w:t xml:space="preserve">附件：                </w:t>
      </w:r>
      <w:r>
        <w:rPr>
          <w:rFonts w:hint="eastAsia" w:ascii="仿宋_GB2312" w:hAnsi="仿宋_GB2312" w:eastAsia="仿宋_GB2312" w:cs="仿宋_GB2312"/>
          <w:sz w:val="36"/>
          <w:szCs w:val="36"/>
        </w:rPr>
        <w:t>202</w:t>
      </w:r>
      <w:r>
        <w:rPr>
          <w:rFonts w:hint="eastAsia" w:ascii="仿宋_GB2312" w:hAnsi="仿宋_GB2312" w:eastAsia="仿宋_GB2312" w:cs="仿宋_GB2312"/>
          <w:sz w:val="36"/>
          <w:szCs w:val="36"/>
          <w:lang w:val="en-US" w:eastAsia="zh-CN"/>
        </w:rPr>
        <w:t>7</w:t>
      </w:r>
      <w:r>
        <w:rPr>
          <w:rFonts w:hint="eastAsia" w:ascii="仿宋_GB2312" w:hAnsi="仿宋_GB2312" w:eastAsia="仿宋_GB2312" w:cs="仿宋_GB2312"/>
          <w:sz w:val="36"/>
          <w:szCs w:val="36"/>
        </w:rPr>
        <w:t>年经济学院推免生推荐工作综合评价实施细则</w:t>
      </w:r>
    </w:p>
    <w:tbl>
      <w:tblPr>
        <w:tblStyle w:val="5"/>
        <w:tblW w:w="14256" w:type="dxa"/>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8"/>
        <w:gridCol w:w="1680"/>
        <w:gridCol w:w="3075"/>
        <w:gridCol w:w="8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exact"/>
        </w:trPr>
        <w:tc>
          <w:tcPr>
            <w:tcW w:w="1258" w:type="dxa"/>
            <w:vMerge w:val="restart"/>
            <w:tcBorders>
              <w:tl2br w:val="nil"/>
              <w:tr2bl w:val="nil"/>
            </w:tcBorders>
            <w:shd w:val="clear" w:color="auto" w:fill="auto"/>
            <w:vAlign w:val="center"/>
          </w:tcPr>
          <w:p>
            <w:pPr>
              <w:widowControl/>
              <w:jc w:val="center"/>
              <w:rPr>
                <w:rFonts w:ascii="仿宋_GB2312" w:hAnsi="仿宋_GB2312" w:eastAsia="仿宋_GB2312" w:cs="仿宋_GB2312"/>
                <w:kern w:val="0"/>
                <w:sz w:val="22"/>
                <w:szCs w:val="22"/>
              </w:rPr>
            </w:pPr>
            <w:r>
              <w:rPr>
                <w:rFonts w:hint="eastAsia" w:ascii="仿宋_GB2312" w:hAnsi="仿宋_GB2312" w:eastAsia="仿宋_GB2312" w:cs="仿宋_GB2312"/>
                <w:kern w:val="0"/>
                <w:sz w:val="24"/>
                <w:szCs w:val="24"/>
              </w:rPr>
              <w:t>综合成绩100分</w:t>
            </w:r>
          </w:p>
        </w:tc>
        <w:tc>
          <w:tcPr>
            <w:tcW w:w="1680" w:type="dxa"/>
            <w:tcBorders>
              <w:tl2br w:val="nil"/>
              <w:tr2bl w:val="nil"/>
            </w:tcBorders>
            <w:shd w:val="clear" w:color="auto" w:fill="auto"/>
            <w:vAlign w:val="center"/>
          </w:tcPr>
          <w:p>
            <w:pPr>
              <w:widowControl/>
              <w:jc w:val="center"/>
              <w:rPr>
                <w:rFonts w:ascii="仿宋_GB2312" w:hAnsi="仿宋_GB2312" w:eastAsia="仿宋_GB2312" w:cs="仿宋_GB2312"/>
                <w:b/>
                <w:bCs/>
                <w:kern w:val="0"/>
                <w:sz w:val="10"/>
                <w:szCs w:val="18"/>
              </w:rPr>
            </w:pPr>
            <w:r>
              <w:rPr>
                <w:rFonts w:hint="eastAsia" w:ascii="仿宋_GB2312" w:hAnsi="仿宋_GB2312" w:eastAsia="仿宋_GB2312" w:cs="仿宋_GB2312"/>
                <w:b/>
                <w:bCs/>
                <w:kern w:val="0"/>
                <w:sz w:val="10"/>
                <w:szCs w:val="18"/>
              </w:rPr>
              <w:t>首次考核成绩的学分加权平均分</w:t>
            </w:r>
          </w:p>
          <w:p>
            <w:pPr>
              <w:widowControl/>
              <w:jc w:val="center"/>
              <w:rPr>
                <w:rFonts w:ascii="仿宋_GB2312" w:hAnsi="仿宋_GB2312" w:eastAsia="仿宋_GB2312" w:cs="仿宋_GB2312"/>
                <w:kern w:val="0"/>
                <w:sz w:val="22"/>
                <w:szCs w:val="22"/>
              </w:rPr>
            </w:pPr>
            <w:r>
              <w:rPr>
                <w:rFonts w:hint="eastAsia" w:ascii="仿宋_GB2312" w:hAnsi="仿宋_GB2312" w:eastAsia="仿宋_GB2312" w:cs="仿宋_GB2312"/>
                <w:kern w:val="0"/>
                <w:sz w:val="18"/>
                <w:szCs w:val="18"/>
              </w:rPr>
              <w:t>（百分制）*80%</w:t>
            </w:r>
          </w:p>
        </w:tc>
        <w:tc>
          <w:tcPr>
            <w:tcW w:w="11318" w:type="dxa"/>
            <w:gridSpan w:val="2"/>
            <w:tcBorders>
              <w:tl2br w:val="nil"/>
              <w:tr2bl w:val="nil"/>
            </w:tcBorders>
            <w:shd w:val="clear" w:color="auto" w:fill="auto"/>
            <w:noWrap/>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b/>
                <w:bCs/>
                <w:kern w:val="0"/>
                <w:sz w:val="24"/>
                <w:szCs w:val="24"/>
              </w:rPr>
              <w:t>首次考核成绩的学分加权平均分</w:t>
            </w:r>
            <w:r>
              <w:rPr>
                <w:rFonts w:hint="eastAsia" w:ascii="仿宋_GB2312" w:hAnsi="仿宋_GB2312" w:eastAsia="仿宋_GB2312" w:cs="仿宋_GB2312"/>
                <w:kern w:val="0"/>
                <w:sz w:val="24"/>
                <w:szCs w:val="24"/>
              </w:rPr>
              <w:t>（在本专业排名前20%以内，含20%）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258" w:type="dxa"/>
            <w:vMerge w:val="continue"/>
            <w:tcBorders>
              <w:tl2br w:val="nil"/>
              <w:tr2bl w:val="nil"/>
            </w:tcBorders>
            <w:vAlign w:val="center"/>
          </w:tcPr>
          <w:p>
            <w:pPr>
              <w:widowControl/>
              <w:jc w:val="left"/>
              <w:rPr>
                <w:rFonts w:ascii="仿宋_GB2312" w:hAnsi="仿宋_GB2312" w:eastAsia="仿宋_GB2312" w:cs="仿宋_GB2312"/>
                <w:kern w:val="0"/>
                <w:sz w:val="22"/>
                <w:szCs w:val="22"/>
              </w:rPr>
            </w:pPr>
          </w:p>
        </w:tc>
        <w:tc>
          <w:tcPr>
            <w:tcW w:w="1680" w:type="dxa"/>
            <w:vMerge w:val="restart"/>
            <w:tcBorders>
              <w:tl2br w:val="nil"/>
              <w:tr2bl w:val="nil"/>
            </w:tcBorders>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综合测评成绩（百分制）</w:t>
            </w:r>
          </w:p>
          <w:p>
            <w:pPr>
              <w:ind w:firstLine="360" w:firstLineChars="150"/>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*20%</w:t>
            </w:r>
          </w:p>
          <w:p>
            <w:pPr>
              <w:jc w:val="center"/>
              <w:rPr>
                <w:rFonts w:ascii="仿宋_GB2312" w:hAnsi="仿宋_GB2312" w:eastAsia="仿宋_GB2312" w:cs="仿宋_GB2312"/>
                <w:kern w:val="0"/>
                <w:sz w:val="22"/>
                <w:szCs w:val="22"/>
              </w:rPr>
            </w:pPr>
          </w:p>
        </w:tc>
        <w:tc>
          <w:tcPr>
            <w:tcW w:w="3075" w:type="dxa"/>
            <w:tcBorders>
              <w:tl2br w:val="nil"/>
              <w:tr2bl w:val="nil"/>
            </w:tcBorders>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参军入伍服兵役</w:t>
            </w:r>
          </w:p>
        </w:tc>
        <w:tc>
          <w:tcPr>
            <w:tcW w:w="824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参军入伍服兵役</w:t>
            </w:r>
            <w:r>
              <w:rPr>
                <w:rFonts w:hint="eastAsia" w:ascii="仿宋_GB2312" w:hAnsi="仿宋_GB2312" w:eastAsia="仿宋_GB2312" w:cs="仿宋_GB2312"/>
                <w:kern w:val="0"/>
                <w:sz w:val="24"/>
                <w:szCs w:val="24"/>
                <w:u w:val="single"/>
              </w:rPr>
              <w:t>2</w:t>
            </w:r>
            <w:r>
              <w:rPr>
                <w:rFonts w:hint="eastAsia" w:ascii="仿宋_GB2312" w:hAnsi="仿宋_GB2312" w:eastAsia="仿宋_GB2312" w:cs="仿宋_GB2312"/>
                <w:kern w:val="0"/>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258" w:type="dxa"/>
            <w:vMerge w:val="continue"/>
            <w:tcBorders>
              <w:tl2br w:val="nil"/>
              <w:tr2bl w:val="nil"/>
            </w:tcBorders>
            <w:vAlign w:val="center"/>
          </w:tcPr>
          <w:p>
            <w:pPr>
              <w:widowControl/>
              <w:jc w:val="left"/>
              <w:rPr>
                <w:rFonts w:ascii="仿宋_GB2312" w:hAnsi="仿宋_GB2312" w:eastAsia="仿宋_GB2312" w:cs="仿宋_GB2312"/>
                <w:kern w:val="0"/>
                <w:sz w:val="22"/>
                <w:szCs w:val="22"/>
              </w:rPr>
            </w:pPr>
          </w:p>
        </w:tc>
        <w:tc>
          <w:tcPr>
            <w:tcW w:w="1680" w:type="dxa"/>
            <w:vMerge w:val="continue"/>
            <w:tcBorders>
              <w:tl2br w:val="nil"/>
              <w:tr2bl w:val="nil"/>
            </w:tcBorders>
            <w:vAlign w:val="center"/>
          </w:tcPr>
          <w:p>
            <w:pPr>
              <w:jc w:val="center"/>
              <w:rPr>
                <w:rFonts w:ascii="仿宋_GB2312" w:hAnsi="仿宋_GB2312" w:eastAsia="仿宋_GB2312" w:cs="仿宋_GB2312"/>
                <w:kern w:val="0"/>
                <w:sz w:val="22"/>
                <w:szCs w:val="22"/>
              </w:rPr>
            </w:pPr>
          </w:p>
        </w:tc>
        <w:tc>
          <w:tcPr>
            <w:tcW w:w="3075" w:type="dxa"/>
            <w:tcBorders>
              <w:tl2br w:val="nil"/>
              <w:tr2bl w:val="nil"/>
            </w:tcBorders>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参加公益服务</w:t>
            </w:r>
          </w:p>
        </w:tc>
        <w:tc>
          <w:tcPr>
            <w:tcW w:w="824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志愿服务：优秀调研报告、实践报告、志愿者证书（每项1分，证书上必须含</w:t>
            </w:r>
            <w:r>
              <w:rPr>
                <w:rFonts w:hint="eastAsia" w:ascii="仿宋_GB2312" w:hAnsi="仿宋_GB2312" w:eastAsia="仿宋_GB2312" w:cs="仿宋_GB2312"/>
                <w:kern w:val="0"/>
                <w:sz w:val="24"/>
                <w:szCs w:val="24"/>
                <w:lang w:val="en-US" w:eastAsia="zh-CN"/>
              </w:rPr>
              <w:t>所在单位</w:t>
            </w:r>
            <w:r>
              <w:rPr>
                <w:rFonts w:hint="eastAsia" w:ascii="仿宋_GB2312" w:hAnsi="仿宋_GB2312" w:eastAsia="仿宋_GB2312" w:cs="仿宋_GB2312"/>
                <w:kern w:val="0"/>
                <w:sz w:val="24"/>
                <w:szCs w:val="24"/>
              </w:rPr>
              <w:t>公章，总分最高不超过3分）；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258" w:type="dxa"/>
            <w:vMerge w:val="continue"/>
            <w:tcBorders>
              <w:tl2br w:val="nil"/>
              <w:tr2bl w:val="nil"/>
            </w:tcBorders>
            <w:vAlign w:val="center"/>
          </w:tcPr>
          <w:p>
            <w:pPr>
              <w:widowControl/>
              <w:jc w:val="left"/>
              <w:rPr>
                <w:rFonts w:ascii="仿宋_GB2312" w:hAnsi="仿宋_GB2312" w:eastAsia="仿宋_GB2312" w:cs="仿宋_GB2312"/>
                <w:kern w:val="0"/>
                <w:sz w:val="22"/>
                <w:szCs w:val="22"/>
              </w:rPr>
            </w:pPr>
          </w:p>
        </w:tc>
        <w:tc>
          <w:tcPr>
            <w:tcW w:w="1680" w:type="dxa"/>
            <w:vMerge w:val="continue"/>
            <w:tcBorders>
              <w:tl2br w:val="nil"/>
              <w:tr2bl w:val="nil"/>
            </w:tcBorders>
            <w:vAlign w:val="center"/>
          </w:tcPr>
          <w:p>
            <w:pPr>
              <w:jc w:val="center"/>
              <w:rPr>
                <w:rFonts w:ascii="仿宋_GB2312" w:hAnsi="仿宋_GB2312" w:eastAsia="仿宋_GB2312" w:cs="仿宋_GB2312"/>
                <w:kern w:val="0"/>
                <w:sz w:val="22"/>
                <w:szCs w:val="22"/>
              </w:rPr>
            </w:pPr>
          </w:p>
        </w:tc>
        <w:tc>
          <w:tcPr>
            <w:tcW w:w="3075" w:type="dxa"/>
            <w:tcBorders>
              <w:tl2br w:val="nil"/>
              <w:tr2bl w:val="nil"/>
            </w:tcBorders>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到国际组织实习</w:t>
            </w:r>
          </w:p>
        </w:tc>
        <w:tc>
          <w:tcPr>
            <w:tcW w:w="824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到国际组织实习</w:t>
            </w:r>
            <w:r>
              <w:rPr>
                <w:rFonts w:hint="eastAsia" w:ascii="仿宋_GB2312" w:hAnsi="仿宋_GB2312" w:eastAsia="仿宋_GB2312" w:cs="仿宋_GB2312"/>
                <w:kern w:val="0"/>
                <w:sz w:val="24"/>
                <w:szCs w:val="24"/>
                <w:u w:val="single"/>
                <w:lang w:val="en-US" w:eastAsia="zh-CN"/>
              </w:rPr>
              <w:t>1.5</w:t>
            </w:r>
            <w:r>
              <w:rPr>
                <w:rFonts w:hint="eastAsia" w:ascii="仿宋_GB2312" w:hAnsi="仿宋_GB2312" w:eastAsia="仿宋_GB2312" w:cs="仿宋_GB2312"/>
                <w:kern w:val="0"/>
                <w:sz w:val="24"/>
                <w:szCs w:val="24"/>
              </w:rPr>
              <w:t>分（总分最高不超过</w:t>
            </w:r>
            <w:r>
              <w:rPr>
                <w:rFonts w:hint="eastAsia" w:ascii="仿宋_GB2312" w:hAnsi="仿宋_GB2312" w:eastAsia="仿宋_GB2312" w:cs="仿宋_GB2312"/>
                <w:kern w:val="0"/>
                <w:sz w:val="24"/>
                <w:szCs w:val="24"/>
                <w:u w:val="single"/>
                <w:lang w:val="en-US" w:eastAsia="zh-CN"/>
              </w:rPr>
              <w:t>3</w:t>
            </w:r>
            <w:r>
              <w:rPr>
                <w:rFonts w:hint="eastAsia" w:ascii="仿宋_GB2312" w:hAnsi="仿宋_GB2312" w:eastAsia="仿宋_GB2312" w:cs="仿宋_GB2312"/>
                <w:kern w:val="0"/>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1" w:hRule="atLeast"/>
        </w:trPr>
        <w:tc>
          <w:tcPr>
            <w:tcW w:w="1258" w:type="dxa"/>
            <w:vMerge w:val="continue"/>
            <w:tcBorders>
              <w:tl2br w:val="nil"/>
              <w:tr2bl w:val="nil"/>
            </w:tcBorders>
            <w:vAlign w:val="center"/>
          </w:tcPr>
          <w:p>
            <w:pPr>
              <w:widowControl/>
              <w:jc w:val="left"/>
              <w:rPr>
                <w:rFonts w:ascii="仿宋_GB2312" w:hAnsi="仿宋_GB2312" w:eastAsia="仿宋_GB2312" w:cs="仿宋_GB2312"/>
                <w:kern w:val="0"/>
                <w:sz w:val="22"/>
                <w:szCs w:val="22"/>
              </w:rPr>
            </w:pPr>
          </w:p>
        </w:tc>
        <w:tc>
          <w:tcPr>
            <w:tcW w:w="1680" w:type="dxa"/>
            <w:vMerge w:val="continue"/>
            <w:tcBorders>
              <w:tl2br w:val="nil"/>
              <w:tr2bl w:val="nil"/>
            </w:tcBorders>
            <w:vAlign w:val="center"/>
          </w:tcPr>
          <w:p>
            <w:pPr>
              <w:widowControl/>
              <w:jc w:val="center"/>
              <w:rPr>
                <w:rFonts w:ascii="仿宋_GB2312" w:hAnsi="仿宋_GB2312" w:eastAsia="仿宋_GB2312" w:cs="仿宋_GB2312"/>
                <w:kern w:val="0"/>
                <w:sz w:val="22"/>
                <w:szCs w:val="22"/>
              </w:rPr>
            </w:pPr>
          </w:p>
        </w:tc>
        <w:tc>
          <w:tcPr>
            <w:tcW w:w="3075" w:type="dxa"/>
            <w:vMerge w:val="restart"/>
            <w:tcBorders>
              <w:tl2br w:val="nil"/>
              <w:tr2bl w:val="nil"/>
            </w:tcBorders>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科研成果             </w:t>
            </w:r>
          </w:p>
        </w:tc>
        <w:tc>
          <w:tcPr>
            <w:tcW w:w="824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eastAsia="zh-CN"/>
              </w:rPr>
              <w:t>学生作为独立作者发表学科专业相关的科研论文</w:t>
            </w:r>
            <w:r>
              <w:rPr>
                <w:rFonts w:hint="eastAsia" w:ascii="仿宋_GB2312" w:hAnsi="仿宋_GB2312" w:eastAsia="仿宋_GB2312" w:cs="仿宋_GB2312"/>
                <w:kern w:val="0"/>
                <w:sz w:val="24"/>
                <w:szCs w:val="24"/>
              </w:rPr>
              <w:t>CSSCI、SCI、SSCI刊物15分/篇；北大中文核心刊物或CSSCI</w:t>
            </w:r>
            <w:r>
              <w:rPr>
                <w:rFonts w:hint="eastAsia" w:ascii="仿宋_GB2312" w:hAnsi="仿宋_GB2312" w:eastAsia="仿宋_GB2312" w:cs="仿宋_GB2312"/>
                <w:kern w:val="0"/>
                <w:sz w:val="24"/>
                <w:szCs w:val="24"/>
                <w:lang w:eastAsia="zh-CN"/>
              </w:rPr>
              <w:t>扩展</w:t>
            </w:r>
            <w:r>
              <w:rPr>
                <w:rFonts w:hint="eastAsia" w:ascii="仿宋_GB2312" w:hAnsi="仿宋_GB2312" w:eastAsia="仿宋_GB2312" w:cs="仿宋_GB2312"/>
                <w:kern w:val="0"/>
                <w:sz w:val="24"/>
                <w:szCs w:val="24"/>
                <w:lang w:val="en-US" w:eastAsia="zh-CN"/>
              </w:rPr>
              <w:t>/CSCD</w:t>
            </w:r>
            <w:r>
              <w:rPr>
                <w:rFonts w:hint="eastAsia" w:ascii="仿宋_GB2312" w:hAnsi="仿宋_GB2312" w:eastAsia="仿宋_GB2312" w:cs="仿宋_GB2312"/>
                <w:kern w:val="0"/>
                <w:sz w:val="24"/>
                <w:szCs w:val="24"/>
              </w:rPr>
              <w:t>扩展、EI版刊物8分/篇</w:t>
            </w:r>
            <w:r>
              <w:rPr>
                <w:rFonts w:hint="eastAsia" w:ascii="仿宋_GB2312" w:hAnsi="仿宋_GB2312" w:eastAsia="仿宋_GB2312" w:cs="仿宋_GB2312"/>
                <w:kern w:val="0"/>
                <w:sz w:val="24"/>
                <w:szCs w:val="24"/>
                <w:lang w:eastAsia="zh-CN"/>
              </w:rPr>
              <w:t>；核心期刊</w:t>
            </w:r>
            <w:r>
              <w:rPr>
                <w:rFonts w:hint="eastAsia" w:ascii="仿宋_GB2312" w:hAnsi="仿宋_GB2312" w:eastAsia="仿宋_GB2312" w:cs="仿宋_GB2312"/>
                <w:kern w:val="0"/>
                <w:sz w:val="24"/>
                <w:szCs w:val="24"/>
                <w:lang w:val="en-US" w:eastAsia="zh-CN"/>
              </w:rPr>
              <w:t>2分/篇</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auto"/>
                <w:kern w:val="0"/>
                <w:sz w:val="18"/>
                <w:szCs w:val="18"/>
                <w:lang w:eastAsia="zh-CN"/>
              </w:rPr>
            </w:pPr>
            <w:r>
              <w:rPr>
                <w:rFonts w:hint="eastAsia" w:ascii="仿宋_GB2312" w:hAnsi="仿宋_GB2312" w:eastAsia="仿宋_GB2312" w:cs="仿宋_GB2312"/>
                <w:color w:val="auto"/>
                <w:kern w:val="0"/>
                <w:sz w:val="24"/>
                <w:szCs w:val="24"/>
              </w:rPr>
              <w:t>与指导教师联合发表(限学生</w:t>
            </w:r>
            <w:r>
              <w:rPr>
                <w:rFonts w:hint="eastAsia" w:ascii="仿宋_GB2312" w:hAnsi="仿宋_GB2312" w:eastAsia="仿宋_GB2312" w:cs="仿宋_GB2312"/>
                <w:color w:val="auto"/>
                <w:kern w:val="0"/>
                <w:sz w:val="24"/>
                <w:szCs w:val="24"/>
                <w:lang w:eastAsia="zh-CN"/>
              </w:rPr>
              <w:t>为第一作者、指导老师</w:t>
            </w:r>
            <w:r>
              <w:rPr>
                <w:rFonts w:hint="eastAsia" w:ascii="仿宋_GB2312" w:hAnsi="仿宋_GB2312" w:eastAsia="仿宋_GB2312" w:cs="仿宋_GB2312"/>
                <w:color w:val="auto"/>
                <w:kern w:val="0"/>
                <w:sz w:val="24"/>
                <w:szCs w:val="24"/>
              </w:rPr>
              <w:t>为第二作者)与学科专业相关的科研论文，CSSCI、SCI、SSCI刊物</w:t>
            </w:r>
            <w:r>
              <w:rPr>
                <w:rFonts w:hint="eastAsia" w:ascii="仿宋_GB2312" w:hAnsi="仿宋_GB2312" w:eastAsia="仿宋_GB2312" w:cs="仿宋_GB2312"/>
                <w:color w:val="auto"/>
                <w:kern w:val="0"/>
                <w:sz w:val="24"/>
                <w:szCs w:val="24"/>
                <w:lang w:val="en-US" w:eastAsia="zh-CN"/>
              </w:rPr>
              <w:t>7.5</w:t>
            </w:r>
            <w:r>
              <w:rPr>
                <w:rFonts w:hint="eastAsia" w:ascii="仿宋_GB2312" w:hAnsi="仿宋_GB2312" w:eastAsia="仿宋_GB2312" w:cs="仿宋_GB2312"/>
                <w:color w:val="auto"/>
                <w:kern w:val="0"/>
                <w:sz w:val="24"/>
                <w:szCs w:val="24"/>
              </w:rPr>
              <w:t>分/篇；北大中文核心刊物</w:t>
            </w:r>
            <w:r>
              <w:rPr>
                <w:rFonts w:hint="eastAsia" w:ascii="仿宋_GB2312" w:hAnsi="仿宋_GB2312" w:eastAsia="仿宋_GB2312" w:cs="仿宋_GB2312"/>
                <w:color w:val="auto"/>
                <w:kern w:val="0"/>
                <w:sz w:val="24"/>
                <w:szCs w:val="24"/>
                <w:lang w:eastAsia="zh-CN"/>
              </w:rPr>
              <w:t>或</w:t>
            </w:r>
            <w:r>
              <w:rPr>
                <w:rFonts w:hint="eastAsia" w:ascii="仿宋_GB2312" w:hAnsi="仿宋_GB2312" w:eastAsia="仿宋_GB2312" w:cs="仿宋_GB2312"/>
                <w:color w:val="auto"/>
                <w:kern w:val="0"/>
                <w:sz w:val="24"/>
                <w:szCs w:val="24"/>
              </w:rPr>
              <w:t>CSSCI</w:t>
            </w:r>
            <w:r>
              <w:rPr>
                <w:rFonts w:hint="eastAsia" w:ascii="仿宋_GB2312" w:hAnsi="仿宋_GB2312" w:eastAsia="仿宋_GB2312" w:cs="仿宋_GB2312"/>
                <w:color w:val="auto"/>
                <w:kern w:val="0"/>
                <w:sz w:val="24"/>
                <w:szCs w:val="24"/>
                <w:lang w:eastAsia="zh-CN"/>
              </w:rPr>
              <w:t>扩展</w:t>
            </w:r>
            <w:r>
              <w:rPr>
                <w:rFonts w:hint="eastAsia" w:ascii="仿宋_GB2312" w:hAnsi="仿宋_GB2312" w:eastAsia="仿宋_GB2312" w:cs="仿宋_GB2312"/>
                <w:color w:val="auto"/>
                <w:kern w:val="0"/>
                <w:sz w:val="24"/>
                <w:szCs w:val="24"/>
                <w:lang w:val="en-US" w:eastAsia="zh-CN"/>
              </w:rPr>
              <w:t>/CSCD</w:t>
            </w:r>
            <w:r>
              <w:rPr>
                <w:rFonts w:hint="eastAsia" w:ascii="仿宋_GB2312" w:hAnsi="仿宋_GB2312" w:eastAsia="仿宋_GB2312" w:cs="仿宋_GB2312"/>
                <w:color w:val="auto"/>
                <w:kern w:val="0"/>
                <w:sz w:val="24"/>
                <w:szCs w:val="24"/>
              </w:rPr>
              <w:t>扩展、EI版刊物</w:t>
            </w:r>
            <w:r>
              <w:rPr>
                <w:rFonts w:hint="eastAsia" w:ascii="仿宋_GB2312" w:hAnsi="仿宋_GB2312" w:eastAsia="仿宋_GB2312" w:cs="仿宋_GB2312"/>
                <w:color w:val="auto"/>
                <w:kern w:val="0"/>
                <w:sz w:val="24"/>
                <w:szCs w:val="24"/>
                <w:lang w:val="en-US" w:eastAsia="zh-CN"/>
              </w:rPr>
              <w:t>4</w:t>
            </w:r>
            <w:r>
              <w:rPr>
                <w:rFonts w:hint="eastAsia" w:ascii="仿宋_GB2312" w:hAnsi="仿宋_GB2312" w:eastAsia="仿宋_GB2312" w:cs="仿宋_GB2312"/>
                <w:color w:val="auto"/>
                <w:kern w:val="0"/>
                <w:sz w:val="24"/>
                <w:szCs w:val="24"/>
              </w:rPr>
              <w:t>分/篇；核心期刊</w:t>
            </w:r>
            <w:r>
              <w:rPr>
                <w:rFonts w:hint="eastAsia" w:ascii="仿宋_GB2312" w:hAnsi="仿宋_GB2312" w:eastAsia="仿宋_GB2312" w:cs="仿宋_GB2312"/>
                <w:color w:val="auto"/>
                <w:kern w:val="0"/>
                <w:sz w:val="24"/>
                <w:szCs w:val="24"/>
                <w:lang w:val="en-US" w:eastAsia="zh-CN"/>
              </w:rPr>
              <w:t>1</w:t>
            </w:r>
            <w:r>
              <w:rPr>
                <w:rFonts w:hint="eastAsia" w:ascii="仿宋_GB2312" w:hAnsi="仿宋_GB2312" w:eastAsia="仿宋_GB2312" w:cs="仿宋_GB2312"/>
                <w:color w:val="auto"/>
                <w:kern w:val="0"/>
                <w:sz w:val="24"/>
                <w:szCs w:val="24"/>
              </w:rPr>
              <w:t>分/篇</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auto"/>
                <w:kern w:val="0"/>
                <w:sz w:val="24"/>
                <w:szCs w:val="24"/>
              </w:rPr>
              <w:t>与指导教师联合发表(限</w:t>
            </w:r>
            <w:r>
              <w:rPr>
                <w:rFonts w:hint="eastAsia" w:ascii="仿宋_GB2312" w:hAnsi="仿宋_GB2312" w:eastAsia="仿宋_GB2312" w:cs="仿宋_GB2312"/>
                <w:color w:val="auto"/>
                <w:kern w:val="0"/>
                <w:sz w:val="24"/>
                <w:szCs w:val="24"/>
                <w:lang w:eastAsia="zh-CN"/>
              </w:rPr>
              <w:t>指导老师为第一作者、学生</w:t>
            </w:r>
            <w:r>
              <w:rPr>
                <w:rFonts w:hint="eastAsia" w:ascii="仿宋_GB2312" w:hAnsi="仿宋_GB2312" w:eastAsia="仿宋_GB2312" w:cs="仿宋_GB2312"/>
                <w:color w:val="auto"/>
                <w:kern w:val="0"/>
                <w:sz w:val="24"/>
                <w:szCs w:val="24"/>
              </w:rPr>
              <w:t>为第二作者)与学科专业相关的科研论文，CSSCI、SCI、SSCI刊物</w:t>
            </w:r>
            <w:r>
              <w:rPr>
                <w:rFonts w:hint="eastAsia" w:ascii="仿宋_GB2312" w:hAnsi="仿宋_GB2312" w:eastAsia="仿宋_GB2312" w:cs="仿宋_GB2312"/>
                <w:color w:val="auto"/>
                <w:kern w:val="0"/>
                <w:sz w:val="24"/>
                <w:szCs w:val="24"/>
                <w:lang w:val="en-US" w:eastAsia="zh-CN"/>
              </w:rPr>
              <w:t>3</w:t>
            </w:r>
            <w:r>
              <w:rPr>
                <w:rFonts w:hint="eastAsia" w:ascii="仿宋_GB2312" w:hAnsi="仿宋_GB2312" w:eastAsia="仿宋_GB2312" w:cs="仿宋_GB2312"/>
                <w:color w:val="auto"/>
                <w:kern w:val="0"/>
                <w:sz w:val="24"/>
                <w:szCs w:val="24"/>
              </w:rPr>
              <w:t>分/篇；北大中文核心刊物或CSSCI</w:t>
            </w:r>
            <w:r>
              <w:rPr>
                <w:rFonts w:hint="eastAsia" w:ascii="仿宋_GB2312" w:hAnsi="仿宋_GB2312" w:eastAsia="仿宋_GB2312" w:cs="仿宋_GB2312"/>
                <w:color w:val="auto"/>
                <w:kern w:val="0"/>
                <w:sz w:val="24"/>
                <w:szCs w:val="24"/>
                <w:lang w:eastAsia="zh-CN"/>
              </w:rPr>
              <w:t>扩展</w:t>
            </w:r>
            <w:r>
              <w:rPr>
                <w:rFonts w:hint="eastAsia" w:ascii="仿宋_GB2312" w:hAnsi="仿宋_GB2312" w:eastAsia="仿宋_GB2312" w:cs="仿宋_GB2312"/>
                <w:color w:val="auto"/>
                <w:kern w:val="0"/>
                <w:sz w:val="24"/>
                <w:szCs w:val="24"/>
                <w:lang w:val="en-US" w:eastAsia="zh-CN"/>
              </w:rPr>
              <w:t>/CSCD</w:t>
            </w:r>
            <w:r>
              <w:rPr>
                <w:rFonts w:hint="eastAsia" w:ascii="仿宋_GB2312" w:hAnsi="仿宋_GB2312" w:eastAsia="仿宋_GB2312" w:cs="仿宋_GB2312"/>
                <w:color w:val="auto"/>
                <w:kern w:val="0"/>
                <w:sz w:val="24"/>
                <w:szCs w:val="24"/>
              </w:rPr>
              <w:t>扩展、EI版刊物</w:t>
            </w:r>
            <w:r>
              <w:rPr>
                <w:rFonts w:hint="eastAsia" w:ascii="仿宋_GB2312" w:hAnsi="仿宋_GB2312" w:eastAsia="仿宋_GB2312" w:cs="仿宋_GB2312"/>
                <w:color w:val="auto"/>
                <w:kern w:val="0"/>
                <w:sz w:val="24"/>
                <w:szCs w:val="24"/>
                <w:lang w:val="en-US" w:eastAsia="zh-CN"/>
              </w:rPr>
              <w:t>2</w:t>
            </w:r>
            <w:r>
              <w:rPr>
                <w:rFonts w:hint="eastAsia" w:ascii="仿宋_GB2312" w:hAnsi="仿宋_GB2312" w:eastAsia="仿宋_GB2312" w:cs="仿宋_GB2312"/>
                <w:color w:val="auto"/>
                <w:kern w:val="0"/>
                <w:sz w:val="24"/>
                <w:szCs w:val="24"/>
              </w:rPr>
              <w:t>分/篇</w:t>
            </w:r>
            <w:r>
              <w:rPr>
                <w:rFonts w:hint="eastAsia" w:ascii="仿宋_GB2312" w:hAnsi="仿宋_GB2312" w:eastAsia="仿宋_GB2312" w:cs="仿宋_GB2312"/>
                <w:color w:val="auto"/>
                <w:kern w:val="0"/>
                <w:sz w:val="24"/>
                <w:szCs w:val="24"/>
                <w:lang w:eastAsia="zh-CN"/>
              </w:rPr>
              <w:t>；</w:t>
            </w:r>
            <w:r>
              <w:rPr>
                <w:rFonts w:hint="eastAsia" w:ascii="仿宋_GB2312" w:hAnsi="仿宋_GB2312" w:eastAsia="仿宋_GB2312" w:cs="仿宋_GB2312"/>
                <w:color w:val="auto"/>
                <w:kern w:val="0"/>
                <w:sz w:val="24"/>
                <w:szCs w:val="24"/>
              </w:rPr>
              <w:t>核心期刊计分</w:t>
            </w:r>
            <w:r>
              <w:rPr>
                <w:rFonts w:hint="eastAsia" w:ascii="仿宋_GB2312" w:hAnsi="仿宋_GB2312" w:eastAsia="仿宋_GB2312" w:cs="仿宋_GB2312"/>
                <w:color w:val="auto"/>
                <w:kern w:val="0"/>
                <w:sz w:val="24"/>
                <w:szCs w:val="24"/>
                <w:lang w:val="en-US" w:eastAsia="zh-CN"/>
              </w:rPr>
              <w:t>0.5</w:t>
            </w:r>
            <w:r>
              <w:rPr>
                <w:rFonts w:hint="eastAsia" w:ascii="仿宋_GB2312" w:hAnsi="仿宋_GB2312" w:eastAsia="仿宋_GB2312" w:cs="仿宋_GB2312"/>
                <w:color w:val="auto"/>
                <w:kern w:val="0"/>
                <w:sz w:val="24"/>
                <w:szCs w:val="24"/>
              </w:rPr>
              <w:t>分/篇</w:t>
            </w:r>
            <w:r>
              <w:rPr>
                <w:rFonts w:hint="eastAsia" w:ascii="仿宋_GB2312" w:hAnsi="仿宋_GB2312" w:eastAsia="仿宋_GB2312" w:cs="仿宋_GB2312"/>
                <w:color w:val="auto"/>
                <w:kern w:val="0"/>
                <w:sz w:val="18"/>
                <w:szCs w:val="18"/>
                <w:lang w:eastAsia="zh-CN"/>
              </w:rPr>
              <w:t>（注：以上发表的核心期刊计入总分不超过6分；预警期刊不列入加分范围；联合发表论文的指导老师必须是学生主持大创项目的指导老师，并且与指导教师合作的论文要求相关学生出具指导教师本人撰写并署名的推荐信，客观陈述学生在联合成果中的实际贡献；论文于2026年9月1日前见刊（含网络见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258" w:type="dxa"/>
            <w:vMerge w:val="continue"/>
            <w:tcBorders>
              <w:tl2br w:val="nil"/>
              <w:tr2bl w:val="nil"/>
            </w:tcBorders>
            <w:vAlign w:val="center"/>
          </w:tcPr>
          <w:p>
            <w:pPr>
              <w:widowControl/>
              <w:jc w:val="left"/>
              <w:rPr>
                <w:rFonts w:ascii="仿宋_GB2312" w:hAnsi="仿宋_GB2312" w:eastAsia="仿宋_GB2312" w:cs="仿宋_GB2312"/>
                <w:kern w:val="0"/>
                <w:sz w:val="22"/>
                <w:szCs w:val="22"/>
              </w:rPr>
            </w:pPr>
          </w:p>
        </w:tc>
        <w:tc>
          <w:tcPr>
            <w:tcW w:w="1680" w:type="dxa"/>
            <w:vMerge w:val="continue"/>
            <w:tcBorders>
              <w:tl2br w:val="nil"/>
              <w:tr2bl w:val="nil"/>
            </w:tcBorders>
            <w:vAlign w:val="center"/>
          </w:tcPr>
          <w:p>
            <w:pPr>
              <w:widowControl/>
              <w:jc w:val="left"/>
              <w:rPr>
                <w:rFonts w:ascii="仿宋_GB2312" w:hAnsi="仿宋_GB2312" w:eastAsia="仿宋_GB2312" w:cs="仿宋_GB2312"/>
                <w:kern w:val="0"/>
                <w:sz w:val="22"/>
                <w:szCs w:val="22"/>
              </w:rPr>
            </w:pPr>
          </w:p>
        </w:tc>
        <w:tc>
          <w:tcPr>
            <w:tcW w:w="3075" w:type="dxa"/>
            <w:vMerge w:val="continue"/>
            <w:tcBorders>
              <w:tl2br w:val="nil"/>
              <w:tr2bl w:val="nil"/>
            </w:tcBorders>
            <w:vAlign w:val="center"/>
          </w:tcPr>
          <w:p>
            <w:pPr>
              <w:widowControl/>
              <w:jc w:val="left"/>
              <w:rPr>
                <w:rFonts w:ascii="仿宋_GB2312" w:hAnsi="仿宋_GB2312" w:eastAsia="仿宋_GB2312" w:cs="仿宋_GB2312"/>
                <w:kern w:val="0"/>
                <w:sz w:val="24"/>
                <w:szCs w:val="24"/>
              </w:rPr>
            </w:pPr>
          </w:p>
        </w:tc>
        <w:tc>
          <w:tcPr>
            <w:tcW w:w="824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校级以上优秀调研报告1</w:t>
            </w: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分/篇</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258" w:type="dxa"/>
            <w:vMerge w:val="continue"/>
            <w:tcBorders>
              <w:tl2br w:val="nil"/>
              <w:tr2bl w:val="nil"/>
            </w:tcBorders>
            <w:vAlign w:val="center"/>
          </w:tcPr>
          <w:p>
            <w:pPr>
              <w:widowControl/>
              <w:jc w:val="left"/>
              <w:rPr>
                <w:rFonts w:ascii="仿宋_GB2312" w:hAnsi="仿宋_GB2312" w:eastAsia="仿宋_GB2312" w:cs="仿宋_GB2312"/>
                <w:kern w:val="0"/>
                <w:sz w:val="22"/>
                <w:szCs w:val="22"/>
              </w:rPr>
            </w:pPr>
          </w:p>
        </w:tc>
        <w:tc>
          <w:tcPr>
            <w:tcW w:w="1680" w:type="dxa"/>
            <w:vMerge w:val="continue"/>
            <w:tcBorders>
              <w:tl2br w:val="nil"/>
              <w:tr2bl w:val="nil"/>
            </w:tcBorders>
            <w:vAlign w:val="center"/>
          </w:tcPr>
          <w:p>
            <w:pPr>
              <w:widowControl/>
              <w:jc w:val="left"/>
              <w:rPr>
                <w:rFonts w:ascii="仿宋_GB2312" w:hAnsi="仿宋_GB2312" w:eastAsia="仿宋_GB2312" w:cs="仿宋_GB2312"/>
                <w:kern w:val="0"/>
                <w:sz w:val="22"/>
                <w:szCs w:val="22"/>
              </w:rPr>
            </w:pPr>
          </w:p>
        </w:tc>
        <w:tc>
          <w:tcPr>
            <w:tcW w:w="3075" w:type="dxa"/>
            <w:vMerge w:val="continue"/>
            <w:tcBorders>
              <w:tl2br w:val="nil"/>
              <w:tr2bl w:val="nil"/>
            </w:tcBorders>
            <w:vAlign w:val="center"/>
          </w:tcPr>
          <w:p>
            <w:pPr>
              <w:widowControl/>
              <w:jc w:val="left"/>
              <w:rPr>
                <w:rFonts w:ascii="仿宋_GB2312" w:hAnsi="仿宋_GB2312" w:eastAsia="仿宋_GB2312" w:cs="仿宋_GB2312"/>
                <w:kern w:val="0"/>
                <w:sz w:val="24"/>
                <w:szCs w:val="24"/>
              </w:rPr>
            </w:pPr>
          </w:p>
        </w:tc>
        <w:tc>
          <w:tcPr>
            <w:tcW w:w="824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hAnsi="仿宋_GB2312" w:eastAsia="仿宋_GB2312" w:cs="仿宋_GB2312"/>
                <w:color w:val="FF0000"/>
                <w:kern w:val="0"/>
                <w:sz w:val="24"/>
                <w:szCs w:val="24"/>
              </w:rPr>
            </w:pPr>
            <w:r>
              <w:rPr>
                <w:rFonts w:hint="eastAsia" w:ascii="仿宋_GB2312" w:hAnsi="仿宋_GB2312" w:eastAsia="仿宋_GB2312" w:cs="仿宋_GB2312"/>
                <w:kern w:val="0"/>
                <w:sz w:val="24"/>
                <w:szCs w:val="24"/>
              </w:rPr>
              <w:t>学科项目（主持）：国家级</w:t>
            </w:r>
            <w:r>
              <w:rPr>
                <w:rFonts w:ascii="仿宋_GB2312" w:hAnsi="仿宋_GB2312" w:eastAsia="仿宋_GB2312" w:cs="仿宋_GB2312"/>
                <w:kern w:val="0"/>
                <w:sz w:val="24"/>
                <w:szCs w:val="24"/>
                <w:u w:val="single"/>
              </w:rPr>
              <w:t>10</w:t>
            </w:r>
            <w:r>
              <w:rPr>
                <w:rFonts w:hint="eastAsia" w:ascii="仿宋_GB2312" w:hAnsi="仿宋_GB2312" w:eastAsia="仿宋_GB2312" w:cs="仿宋_GB2312"/>
                <w:kern w:val="0"/>
                <w:sz w:val="24"/>
                <w:szCs w:val="24"/>
              </w:rPr>
              <w:t>分/项、省级</w:t>
            </w:r>
            <w:r>
              <w:rPr>
                <w:rFonts w:hint="eastAsia" w:ascii="仿宋_GB2312" w:hAnsi="仿宋_GB2312" w:eastAsia="仿宋_GB2312" w:cs="仿宋_GB2312"/>
                <w:kern w:val="0"/>
                <w:sz w:val="24"/>
                <w:szCs w:val="24"/>
                <w:u w:val="single"/>
                <w:lang w:val="en-US" w:eastAsia="zh-CN"/>
              </w:rPr>
              <w:t>6</w:t>
            </w:r>
            <w:r>
              <w:rPr>
                <w:rFonts w:hint="eastAsia" w:ascii="仿宋_GB2312" w:hAnsi="仿宋_GB2312" w:eastAsia="仿宋_GB2312" w:cs="仿宋_GB2312"/>
                <w:kern w:val="0"/>
                <w:sz w:val="24"/>
                <w:szCs w:val="24"/>
              </w:rPr>
              <w:t>分/项、校级</w:t>
            </w:r>
            <w:r>
              <w:rPr>
                <w:rFonts w:ascii="仿宋_GB2312" w:hAnsi="仿宋_GB2312" w:eastAsia="仿宋_GB2312" w:cs="仿宋_GB2312"/>
                <w:kern w:val="0"/>
                <w:sz w:val="24"/>
                <w:szCs w:val="24"/>
                <w:u w:val="single"/>
              </w:rPr>
              <w:t>2</w:t>
            </w:r>
            <w:r>
              <w:rPr>
                <w:rFonts w:hint="eastAsia" w:ascii="仿宋_GB2312" w:hAnsi="仿宋_GB2312" w:eastAsia="仿宋_GB2312" w:cs="仿宋_GB2312"/>
                <w:kern w:val="0"/>
                <w:sz w:val="24"/>
                <w:szCs w:val="24"/>
              </w:rPr>
              <w:t xml:space="preserve">分/项；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5" w:hRule="atLeast"/>
        </w:trPr>
        <w:tc>
          <w:tcPr>
            <w:tcW w:w="1258" w:type="dxa"/>
            <w:vMerge w:val="continue"/>
            <w:tcBorders>
              <w:tl2br w:val="nil"/>
              <w:tr2bl w:val="nil"/>
            </w:tcBorders>
            <w:vAlign w:val="center"/>
          </w:tcPr>
          <w:p>
            <w:pPr>
              <w:widowControl/>
              <w:jc w:val="left"/>
              <w:rPr>
                <w:rFonts w:ascii="仿宋_GB2312" w:hAnsi="仿宋_GB2312" w:eastAsia="仿宋_GB2312" w:cs="仿宋_GB2312"/>
                <w:kern w:val="0"/>
                <w:sz w:val="22"/>
                <w:szCs w:val="22"/>
              </w:rPr>
            </w:pPr>
          </w:p>
        </w:tc>
        <w:tc>
          <w:tcPr>
            <w:tcW w:w="1680" w:type="dxa"/>
            <w:vMerge w:val="continue"/>
            <w:tcBorders>
              <w:tl2br w:val="nil"/>
              <w:tr2bl w:val="nil"/>
            </w:tcBorders>
            <w:vAlign w:val="center"/>
          </w:tcPr>
          <w:p>
            <w:pPr>
              <w:widowControl/>
              <w:jc w:val="left"/>
              <w:rPr>
                <w:rFonts w:ascii="仿宋_GB2312" w:hAnsi="仿宋_GB2312" w:eastAsia="仿宋_GB2312" w:cs="仿宋_GB2312"/>
                <w:kern w:val="0"/>
                <w:sz w:val="22"/>
                <w:szCs w:val="22"/>
              </w:rPr>
            </w:pPr>
          </w:p>
        </w:tc>
        <w:tc>
          <w:tcPr>
            <w:tcW w:w="3075" w:type="dxa"/>
            <w:tcBorders>
              <w:tl2br w:val="nil"/>
              <w:tr2bl w:val="nil"/>
            </w:tcBorders>
            <w:shd w:val="clear" w:color="auto" w:fill="auto"/>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荣誉与竞赛奖励</w:t>
            </w:r>
          </w:p>
        </w:tc>
        <w:tc>
          <w:tcPr>
            <w:tcW w:w="824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荣誉：国家级</w:t>
            </w:r>
            <w:r>
              <w:rPr>
                <w:rFonts w:ascii="仿宋_GB2312" w:hAnsi="仿宋_GB2312" w:eastAsia="仿宋_GB2312" w:cs="仿宋_GB2312"/>
                <w:kern w:val="0"/>
                <w:sz w:val="24"/>
                <w:szCs w:val="24"/>
                <w:u w:val="single"/>
              </w:rPr>
              <w:t>10</w:t>
            </w:r>
            <w:r>
              <w:rPr>
                <w:rFonts w:hint="eastAsia" w:ascii="仿宋_GB2312" w:hAnsi="仿宋_GB2312" w:eastAsia="仿宋_GB2312" w:cs="仿宋_GB2312"/>
                <w:kern w:val="0"/>
                <w:sz w:val="24"/>
                <w:szCs w:val="24"/>
              </w:rPr>
              <w:t>分/项、省级</w:t>
            </w:r>
            <w:r>
              <w:rPr>
                <w:rFonts w:hint="eastAsia" w:ascii="仿宋_GB2312" w:hAnsi="仿宋_GB2312" w:eastAsia="仿宋_GB2312" w:cs="仿宋_GB2312"/>
                <w:kern w:val="0"/>
                <w:sz w:val="24"/>
                <w:szCs w:val="24"/>
                <w:u w:val="single"/>
                <w:lang w:val="en-US" w:eastAsia="zh-CN"/>
              </w:rPr>
              <w:t>6</w:t>
            </w:r>
            <w:r>
              <w:rPr>
                <w:rFonts w:hint="eastAsia" w:ascii="仿宋_GB2312" w:hAnsi="仿宋_GB2312" w:eastAsia="仿宋_GB2312" w:cs="仿宋_GB2312"/>
                <w:kern w:val="0"/>
                <w:sz w:val="24"/>
                <w:szCs w:val="24"/>
              </w:rPr>
              <w:t>分/项、校（厅）级</w:t>
            </w:r>
            <w:r>
              <w:rPr>
                <w:rFonts w:ascii="仿宋_GB2312" w:hAnsi="仿宋_GB2312" w:eastAsia="仿宋_GB2312" w:cs="仿宋_GB2312"/>
                <w:kern w:val="0"/>
                <w:sz w:val="24"/>
                <w:szCs w:val="24"/>
                <w:u w:val="single"/>
              </w:rPr>
              <w:t>2</w:t>
            </w:r>
            <w:r>
              <w:rPr>
                <w:rFonts w:hint="eastAsia" w:ascii="仿宋_GB2312" w:hAnsi="仿宋_GB2312" w:eastAsia="仿宋_GB2312" w:cs="仿宋_GB2312"/>
                <w:kern w:val="0"/>
                <w:sz w:val="24"/>
                <w:szCs w:val="24"/>
              </w:rPr>
              <w:t>分/项（校级及以上荣誉奖励范围界定为：三好学生标兵、三好学生、优秀共产党员、优秀共青团员、优秀学生干部、优秀团干、国家奖学金、</w:t>
            </w:r>
            <w:bookmarkStart w:id="0" w:name="_GoBack"/>
            <w:r>
              <w:rPr>
                <w:rFonts w:hint="eastAsia" w:ascii="仿宋_GB2312" w:hAnsi="仿宋_GB2312" w:eastAsia="仿宋_GB2312" w:cs="仿宋_GB2312"/>
                <w:color w:val="auto"/>
                <w:kern w:val="0"/>
                <w:sz w:val="24"/>
                <w:szCs w:val="24"/>
              </w:rPr>
              <w:t>国家励志奖学金（</w:t>
            </w:r>
            <w:r>
              <w:rPr>
                <w:rFonts w:hint="eastAsia" w:ascii="仿宋_GB2312" w:hAnsi="仿宋_GB2312" w:eastAsia="仿宋_GB2312" w:cs="仿宋_GB2312"/>
                <w:color w:val="auto"/>
                <w:kern w:val="0"/>
                <w:sz w:val="24"/>
                <w:szCs w:val="24"/>
                <w:lang w:eastAsia="zh-CN"/>
              </w:rPr>
              <w:t>校（厅）级</w:t>
            </w:r>
            <w:r>
              <w:rPr>
                <w:rFonts w:hint="eastAsia" w:ascii="仿宋_GB2312" w:hAnsi="仿宋_GB2312" w:eastAsia="仿宋_GB2312" w:cs="仿宋_GB2312"/>
                <w:color w:val="auto"/>
                <w:kern w:val="0"/>
                <w:sz w:val="24"/>
                <w:szCs w:val="24"/>
              </w:rPr>
              <w:t>）</w:t>
            </w:r>
            <w:bookmarkEnd w:id="0"/>
            <w:r>
              <w:rPr>
                <w:rFonts w:hint="eastAsia" w:ascii="仿宋_GB2312" w:hAnsi="仿宋_GB2312" w:eastAsia="仿宋_GB2312" w:cs="仿宋_GB2312"/>
                <w:kern w:val="0"/>
                <w:sz w:val="24"/>
                <w:szCs w:val="24"/>
              </w:rPr>
              <w:t>、自强之星、</w:t>
            </w:r>
            <w:r>
              <w:rPr>
                <w:rFonts w:hint="eastAsia" w:ascii="仿宋_GB2312" w:hAnsi="仿宋_GB2312" w:eastAsia="仿宋_GB2312" w:cs="仿宋_GB2312"/>
                <w:b w:val="0"/>
                <w:bCs w:val="0"/>
                <w:kern w:val="0"/>
                <w:sz w:val="24"/>
                <w:szCs w:val="24"/>
              </w:rPr>
              <w:t>最美大学生</w:t>
            </w:r>
            <w:r>
              <w:rPr>
                <w:rFonts w:hint="eastAsia" w:ascii="仿宋_GB2312" w:hAnsi="仿宋_GB2312" w:eastAsia="仿宋_GB2312" w:cs="仿宋_GB2312"/>
                <w:kern w:val="0"/>
                <w:sz w:val="24"/>
                <w:szCs w:val="24"/>
              </w:rPr>
              <w:t>）；</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学科竞赛：国家级一/二/三等奖</w:t>
            </w:r>
            <w:r>
              <w:rPr>
                <w:rFonts w:ascii="仿宋_GB2312" w:hAnsi="仿宋_GB2312" w:eastAsia="仿宋_GB2312" w:cs="仿宋_GB2312"/>
                <w:kern w:val="0"/>
                <w:sz w:val="24"/>
                <w:szCs w:val="24"/>
                <w:u w:val="single"/>
              </w:rPr>
              <w:t>10</w:t>
            </w:r>
            <w:r>
              <w:rPr>
                <w:rFonts w:hint="eastAsia" w:ascii="仿宋_GB2312" w:hAnsi="仿宋_GB2312" w:eastAsia="仿宋_GB2312" w:cs="仿宋_GB2312"/>
                <w:kern w:val="0"/>
                <w:sz w:val="24"/>
                <w:szCs w:val="24"/>
                <w:u w:val="single"/>
              </w:rPr>
              <w:t>/</w:t>
            </w:r>
            <w:r>
              <w:rPr>
                <w:rFonts w:ascii="仿宋_GB2312" w:hAnsi="仿宋_GB2312" w:eastAsia="仿宋_GB2312" w:cs="仿宋_GB2312"/>
                <w:kern w:val="0"/>
                <w:sz w:val="24"/>
                <w:szCs w:val="24"/>
                <w:u w:val="single"/>
              </w:rPr>
              <w:t>8</w:t>
            </w:r>
            <w:r>
              <w:rPr>
                <w:rFonts w:hint="eastAsia" w:ascii="仿宋_GB2312" w:hAnsi="仿宋_GB2312" w:eastAsia="仿宋_GB2312" w:cs="仿宋_GB2312"/>
                <w:kern w:val="0"/>
                <w:sz w:val="24"/>
                <w:szCs w:val="24"/>
                <w:u w:val="single"/>
              </w:rPr>
              <w:t>/</w:t>
            </w:r>
            <w:r>
              <w:rPr>
                <w:rFonts w:ascii="仿宋_GB2312" w:hAnsi="仿宋_GB2312" w:eastAsia="仿宋_GB2312" w:cs="仿宋_GB2312"/>
                <w:kern w:val="0"/>
                <w:sz w:val="24"/>
                <w:szCs w:val="24"/>
                <w:u w:val="single"/>
              </w:rPr>
              <w:t>6</w:t>
            </w:r>
            <w:r>
              <w:rPr>
                <w:rFonts w:hint="eastAsia" w:ascii="仿宋_GB2312" w:hAnsi="仿宋_GB2312" w:eastAsia="仿宋_GB2312" w:cs="仿宋_GB2312"/>
                <w:kern w:val="0"/>
                <w:sz w:val="24"/>
                <w:szCs w:val="24"/>
              </w:rPr>
              <w:t>分/项、省级一/二/三等奖</w:t>
            </w:r>
            <w:r>
              <w:rPr>
                <w:rFonts w:hint="eastAsia" w:ascii="仿宋_GB2312" w:hAnsi="仿宋_GB2312" w:eastAsia="仿宋_GB2312" w:cs="仿宋_GB2312"/>
                <w:kern w:val="0"/>
                <w:sz w:val="24"/>
                <w:szCs w:val="24"/>
                <w:u w:val="single"/>
                <w:lang w:val="en-US" w:eastAsia="zh-CN"/>
              </w:rPr>
              <w:t>6</w:t>
            </w:r>
            <w:r>
              <w:rPr>
                <w:rFonts w:hint="eastAsia" w:ascii="仿宋_GB2312" w:hAnsi="仿宋_GB2312" w:eastAsia="仿宋_GB2312" w:cs="仿宋_GB2312"/>
                <w:kern w:val="0"/>
                <w:sz w:val="24"/>
                <w:szCs w:val="24"/>
                <w:u w:val="single"/>
              </w:rPr>
              <w:t>/</w:t>
            </w:r>
            <w:r>
              <w:rPr>
                <w:rFonts w:hint="eastAsia" w:ascii="仿宋_GB2312" w:hAnsi="仿宋_GB2312" w:eastAsia="仿宋_GB2312" w:cs="仿宋_GB2312"/>
                <w:kern w:val="0"/>
                <w:sz w:val="24"/>
                <w:szCs w:val="24"/>
                <w:u w:val="single"/>
                <w:lang w:val="en-US" w:eastAsia="zh-CN"/>
              </w:rPr>
              <w:t>4</w:t>
            </w:r>
            <w:r>
              <w:rPr>
                <w:rFonts w:hint="eastAsia" w:ascii="仿宋_GB2312" w:hAnsi="仿宋_GB2312" w:eastAsia="仿宋_GB2312" w:cs="仿宋_GB2312"/>
                <w:kern w:val="0"/>
                <w:sz w:val="24"/>
                <w:szCs w:val="24"/>
                <w:u w:val="single"/>
              </w:rPr>
              <w:t>/</w:t>
            </w:r>
            <w:r>
              <w:rPr>
                <w:rFonts w:ascii="仿宋_GB2312" w:hAnsi="仿宋_GB2312" w:eastAsia="仿宋_GB2312" w:cs="仿宋_GB2312"/>
                <w:kern w:val="0"/>
                <w:sz w:val="24"/>
                <w:szCs w:val="24"/>
                <w:u w:val="single"/>
              </w:rPr>
              <w:t>2</w:t>
            </w:r>
            <w:r>
              <w:rPr>
                <w:rFonts w:hint="eastAsia" w:ascii="仿宋_GB2312" w:hAnsi="仿宋_GB2312" w:eastAsia="仿宋_GB2312" w:cs="仿宋_GB2312"/>
                <w:kern w:val="0"/>
                <w:sz w:val="24"/>
                <w:szCs w:val="24"/>
              </w:rPr>
              <w:t>分/项、校（厅）级一/二/三等奖</w:t>
            </w:r>
            <w:r>
              <w:rPr>
                <w:rFonts w:hint="eastAsia" w:ascii="仿宋_GB2312" w:hAnsi="仿宋_GB2312" w:eastAsia="仿宋_GB2312" w:cs="仿宋_GB2312"/>
                <w:kern w:val="0"/>
                <w:sz w:val="24"/>
                <w:szCs w:val="24"/>
                <w:u w:val="single"/>
              </w:rPr>
              <w:t>2/</w:t>
            </w:r>
            <w:r>
              <w:rPr>
                <w:rFonts w:ascii="仿宋_GB2312" w:hAnsi="仿宋_GB2312" w:eastAsia="仿宋_GB2312" w:cs="仿宋_GB2312"/>
                <w:kern w:val="0"/>
                <w:sz w:val="24"/>
                <w:szCs w:val="24"/>
                <w:u w:val="single"/>
              </w:rPr>
              <w:t>1</w:t>
            </w:r>
            <w:r>
              <w:rPr>
                <w:rFonts w:hint="eastAsia" w:ascii="仿宋_GB2312" w:hAnsi="仿宋_GB2312" w:eastAsia="仿宋_GB2312" w:cs="仿宋_GB2312"/>
                <w:kern w:val="0"/>
                <w:sz w:val="24"/>
                <w:szCs w:val="24"/>
                <w:u w:val="single"/>
              </w:rPr>
              <w:t>/</w:t>
            </w:r>
            <w:r>
              <w:rPr>
                <w:rFonts w:ascii="仿宋_GB2312" w:hAnsi="仿宋_GB2312" w:eastAsia="仿宋_GB2312" w:cs="仿宋_GB2312"/>
                <w:kern w:val="0"/>
                <w:sz w:val="24"/>
                <w:szCs w:val="24"/>
                <w:u w:val="single"/>
              </w:rPr>
              <w:t>0.5</w:t>
            </w:r>
            <w:r>
              <w:rPr>
                <w:rFonts w:hint="eastAsia" w:ascii="仿宋_GB2312" w:hAnsi="仿宋_GB2312" w:eastAsia="仿宋_GB2312" w:cs="仿宋_GB2312"/>
                <w:kern w:val="0"/>
                <w:sz w:val="24"/>
                <w:szCs w:val="24"/>
              </w:rPr>
              <w:t>分/项</w:t>
            </w:r>
            <w:r>
              <w:rPr>
                <w:rFonts w:hint="eastAsia" w:ascii="仿宋_GB2312" w:hAnsi="仿宋_GB2312" w:eastAsia="仿宋_GB2312" w:cs="仿宋_GB2312"/>
                <w:kern w:val="0"/>
                <w:sz w:val="18"/>
                <w:szCs w:val="18"/>
              </w:rPr>
              <w:t>（</w:t>
            </w:r>
            <w:r>
              <w:rPr>
                <w:rFonts w:hint="eastAsia" w:ascii="仿宋_GB2312" w:hAnsi="仿宋_GB2312" w:eastAsia="仿宋_GB2312" w:cs="仿宋_GB2312"/>
                <w:kern w:val="0"/>
                <w:sz w:val="18"/>
                <w:szCs w:val="18"/>
                <w:lang w:eastAsia="zh-CN"/>
              </w:rPr>
              <w:t>注：</w:t>
            </w:r>
            <w:r>
              <w:rPr>
                <w:rFonts w:hint="eastAsia" w:ascii="仿宋_GB2312" w:hAnsi="仿宋_GB2312" w:eastAsia="仿宋_GB2312" w:cs="仿宋_GB2312"/>
                <w:kern w:val="0"/>
                <w:sz w:val="18"/>
                <w:szCs w:val="18"/>
              </w:rPr>
              <w:t>学科竞赛主持人60%计分，排名第二20%计分，其他成员共20%计分；团体获奖项目参赛者排名第一名60%计分，第二名20%计分，其他成员共20%计分，竞赛项目参考</w:t>
            </w:r>
            <w:r>
              <w:rPr>
                <w:rFonts w:hint="eastAsia" w:ascii="仿宋_GB2312" w:hAnsi="仿宋_GB2312" w:eastAsia="仿宋_GB2312" w:cs="仿宋_GB2312"/>
                <w:b w:val="0"/>
                <w:bCs w:val="0"/>
                <w:kern w:val="0"/>
                <w:sz w:val="18"/>
                <w:szCs w:val="18"/>
              </w:rPr>
              <w:t>《湖南农业大学学生竞赛奖励办法》（湘农大发〔2023〕98 号），</w:t>
            </w:r>
            <w:r>
              <w:rPr>
                <w:rFonts w:hint="eastAsia" w:ascii="仿宋_GB2312" w:hAnsi="仿宋_GB2312" w:eastAsia="仿宋_GB2312" w:cs="仿宋_GB2312"/>
                <w:kern w:val="0"/>
                <w:sz w:val="18"/>
                <w:szCs w:val="18"/>
              </w:rPr>
              <w:t>行业比赛学院自行界定（CFA</w:t>
            </w:r>
            <w:r>
              <w:rPr>
                <w:rFonts w:hint="eastAsia" w:ascii="仿宋_GB2312" w:hAnsi="仿宋_GB2312" w:eastAsia="仿宋_GB2312" w:cs="仿宋_GB2312"/>
                <w:kern w:val="0"/>
                <w:sz w:val="18"/>
                <w:szCs w:val="18"/>
                <w:lang w:eastAsia="zh-CN"/>
              </w:rPr>
              <w:t>专业比赛</w:t>
            </w:r>
            <w:r>
              <w:rPr>
                <w:rFonts w:hint="eastAsia" w:ascii="仿宋_GB2312" w:hAnsi="仿宋_GB2312" w:eastAsia="仿宋_GB2312" w:cs="仿宋_GB2312"/>
                <w:kern w:val="0"/>
                <w:sz w:val="18"/>
                <w:szCs w:val="18"/>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258" w:type="dxa"/>
            <w:vMerge w:val="continue"/>
            <w:tcBorders>
              <w:tl2br w:val="nil"/>
              <w:tr2bl w:val="nil"/>
            </w:tcBorders>
            <w:vAlign w:val="center"/>
          </w:tcPr>
          <w:p>
            <w:pPr>
              <w:widowControl/>
              <w:jc w:val="left"/>
              <w:rPr>
                <w:rFonts w:ascii="仿宋_GB2312" w:hAnsi="仿宋_GB2312" w:eastAsia="仿宋_GB2312" w:cs="仿宋_GB2312"/>
                <w:kern w:val="0"/>
                <w:sz w:val="22"/>
                <w:szCs w:val="22"/>
              </w:rPr>
            </w:pPr>
          </w:p>
        </w:tc>
        <w:tc>
          <w:tcPr>
            <w:tcW w:w="1680" w:type="dxa"/>
            <w:vMerge w:val="continue"/>
            <w:tcBorders>
              <w:tl2br w:val="nil"/>
              <w:tr2bl w:val="nil"/>
            </w:tcBorders>
            <w:vAlign w:val="center"/>
          </w:tcPr>
          <w:p>
            <w:pPr>
              <w:widowControl/>
              <w:jc w:val="left"/>
              <w:rPr>
                <w:rFonts w:ascii="仿宋_GB2312" w:hAnsi="仿宋_GB2312" w:eastAsia="仿宋_GB2312" w:cs="仿宋_GB2312"/>
                <w:kern w:val="0"/>
                <w:sz w:val="22"/>
                <w:szCs w:val="22"/>
              </w:rPr>
            </w:pPr>
          </w:p>
        </w:tc>
        <w:tc>
          <w:tcPr>
            <w:tcW w:w="3075" w:type="dxa"/>
            <w:tcBorders>
              <w:tl2br w:val="nil"/>
              <w:tr2bl w:val="nil"/>
            </w:tcBorders>
            <w:shd w:val="clear" w:color="auto" w:fill="auto"/>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专业证书            </w:t>
            </w:r>
          </w:p>
        </w:tc>
        <w:tc>
          <w:tcPr>
            <w:tcW w:w="824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证券从业资格证、期货从业资格证、会计专业技术资格证、银行从业资格证、CFA一级证等其它专业类证书（</w:t>
            </w:r>
            <w:r>
              <w:rPr>
                <w:rFonts w:hint="eastAsia" w:ascii="仿宋_GB2312" w:hAnsi="仿宋_GB2312" w:eastAsia="仿宋_GB2312" w:cs="仿宋_GB2312"/>
                <w:kern w:val="0"/>
                <w:sz w:val="24"/>
                <w:szCs w:val="24"/>
                <w:u w:val="single"/>
              </w:rPr>
              <w:t>1</w:t>
            </w:r>
            <w:r>
              <w:rPr>
                <w:rFonts w:hint="eastAsia" w:ascii="仿宋_GB2312" w:hAnsi="仿宋_GB2312" w:eastAsia="仿宋_GB2312" w:cs="仿宋_GB2312"/>
                <w:kern w:val="0"/>
                <w:sz w:val="24"/>
                <w:szCs w:val="24"/>
              </w:rPr>
              <w:t>分/证）（所有专业证书总分不超过</w:t>
            </w:r>
            <w:r>
              <w:rPr>
                <w:rFonts w:hint="eastAsia" w:ascii="仿宋_GB2312" w:hAnsi="仿宋_GB2312" w:eastAsia="仿宋_GB2312" w:cs="仿宋_GB2312"/>
                <w:kern w:val="0"/>
                <w:sz w:val="24"/>
                <w:szCs w:val="24"/>
                <w:u w:val="single"/>
              </w:rPr>
              <w:t>5</w:t>
            </w:r>
            <w:r>
              <w:rPr>
                <w:rFonts w:hint="eastAsia" w:ascii="仿宋_GB2312" w:hAnsi="仿宋_GB2312" w:eastAsia="仿宋_GB2312" w:cs="仿宋_GB2312"/>
                <w:kern w:val="0"/>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258" w:type="dxa"/>
            <w:vMerge w:val="continue"/>
            <w:tcBorders>
              <w:tl2br w:val="nil"/>
              <w:tr2bl w:val="nil"/>
            </w:tcBorders>
            <w:vAlign w:val="center"/>
          </w:tcPr>
          <w:p>
            <w:pPr>
              <w:widowControl/>
              <w:jc w:val="left"/>
              <w:rPr>
                <w:rFonts w:ascii="仿宋_GB2312" w:hAnsi="仿宋_GB2312" w:eastAsia="仿宋_GB2312" w:cs="仿宋_GB2312"/>
                <w:kern w:val="0"/>
                <w:sz w:val="22"/>
                <w:szCs w:val="22"/>
              </w:rPr>
            </w:pPr>
          </w:p>
        </w:tc>
        <w:tc>
          <w:tcPr>
            <w:tcW w:w="1680" w:type="dxa"/>
            <w:vMerge w:val="continue"/>
            <w:tcBorders>
              <w:tl2br w:val="nil"/>
              <w:tr2bl w:val="nil"/>
            </w:tcBorders>
            <w:vAlign w:val="center"/>
          </w:tcPr>
          <w:p>
            <w:pPr>
              <w:widowControl/>
              <w:jc w:val="left"/>
              <w:rPr>
                <w:rFonts w:ascii="仿宋_GB2312" w:hAnsi="仿宋_GB2312" w:eastAsia="仿宋_GB2312" w:cs="仿宋_GB2312"/>
                <w:kern w:val="0"/>
                <w:sz w:val="22"/>
                <w:szCs w:val="22"/>
              </w:rPr>
            </w:pPr>
          </w:p>
        </w:tc>
        <w:tc>
          <w:tcPr>
            <w:tcW w:w="3075" w:type="dxa"/>
            <w:tcBorders>
              <w:tl2br w:val="nil"/>
              <w:tr2bl w:val="nil"/>
            </w:tcBorders>
            <w:shd w:val="clear" w:color="auto" w:fill="auto"/>
            <w:vAlign w:val="center"/>
          </w:tcPr>
          <w:p>
            <w:pPr>
              <w:widowControl/>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eastAsia="zh-CN"/>
              </w:rPr>
              <w:t>创业</w:t>
            </w:r>
          </w:p>
        </w:tc>
        <w:tc>
          <w:tcPr>
            <w:tcW w:w="824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color w:val="auto"/>
                <w:kern w:val="0"/>
                <w:sz w:val="24"/>
                <w:szCs w:val="24"/>
              </w:rPr>
            </w:pPr>
            <w:r>
              <w:rPr>
                <w:rFonts w:hint="default" w:ascii="仿宋_GB2312" w:hAnsi="仿宋_GB2312" w:eastAsia="仿宋_GB2312" w:cs="仿宋_GB2312"/>
                <w:color w:val="auto"/>
                <w:kern w:val="0"/>
                <w:sz w:val="24"/>
                <w:szCs w:val="24"/>
                <w:lang w:val="en-US" w:eastAsia="zh-CN"/>
              </w:rPr>
              <w:t>学生本人或作为合伙人创办企业，持股比例达30%及以上，自营业执照登记注册之日起合规经营满一年（含）以上，提交能够反映企业实际运营状况的经营性资金流水凭证；或创办企业在大学生创业专板挂牌上市</w:t>
            </w:r>
            <w:r>
              <w:rPr>
                <w:rFonts w:hint="eastAsia" w:ascii="仿宋_GB2312" w:hAnsi="仿宋_GB2312" w:eastAsia="仿宋_GB2312" w:cs="仿宋_GB2312"/>
                <w:color w:val="auto"/>
                <w:kern w:val="0"/>
                <w:sz w:val="24"/>
                <w:szCs w:val="24"/>
                <w:lang w:val="en-US" w:eastAsia="zh-CN"/>
              </w:rPr>
              <w:t>并</w:t>
            </w:r>
            <w:r>
              <w:rPr>
                <w:rFonts w:hint="default" w:ascii="仿宋_GB2312" w:hAnsi="仿宋_GB2312" w:eastAsia="仿宋_GB2312" w:cs="仿宋_GB2312"/>
                <w:color w:val="auto"/>
                <w:kern w:val="0"/>
                <w:sz w:val="24"/>
                <w:szCs w:val="24"/>
                <w:lang w:val="en-US" w:eastAsia="zh-CN"/>
              </w:rPr>
              <w:t>获投资基金累计实际到位达到10万元（人民币）及以上的</w:t>
            </w:r>
            <w:r>
              <w:rPr>
                <w:rFonts w:hint="eastAsia" w:ascii="仿宋_GB2312" w:hAnsi="仿宋_GB2312" w:eastAsia="仿宋_GB2312" w:cs="仿宋_GB2312"/>
                <w:color w:val="auto"/>
                <w:kern w:val="0"/>
                <w:sz w:val="24"/>
                <w:szCs w:val="24"/>
                <w:lang w:val="en-US" w:eastAsia="zh-CN"/>
              </w:rPr>
              <w:t>：2分</w:t>
            </w:r>
            <w:r>
              <w:rPr>
                <w:rFonts w:hint="default" w:ascii="仿宋_GB2312" w:hAnsi="仿宋_GB2312" w:eastAsia="仿宋_GB2312" w:cs="仿宋_GB2312"/>
                <w:color w:val="auto"/>
                <w:kern w:val="0"/>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1258" w:type="dxa"/>
            <w:vMerge w:val="continue"/>
            <w:tcBorders>
              <w:tl2br w:val="nil"/>
              <w:tr2bl w:val="nil"/>
            </w:tcBorders>
            <w:vAlign w:val="center"/>
          </w:tcPr>
          <w:p>
            <w:pPr>
              <w:widowControl/>
              <w:jc w:val="left"/>
              <w:rPr>
                <w:rFonts w:ascii="仿宋_GB2312" w:hAnsi="仿宋_GB2312" w:eastAsia="仿宋_GB2312" w:cs="仿宋_GB2312"/>
                <w:kern w:val="0"/>
                <w:sz w:val="22"/>
                <w:szCs w:val="22"/>
              </w:rPr>
            </w:pPr>
          </w:p>
        </w:tc>
        <w:tc>
          <w:tcPr>
            <w:tcW w:w="1680" w:type="dxa"/>
            <w:vMerge w:val="continue"/>
            <w:tcBorders>
              <w:tl2br w:val="nil"/>
              <w:tr2bl w:val="nil"/>
            </w:tcBorders>
            <w:vAlign w:val="center"/>
          </w:tcPr>
          <w:p>
            <w:pPr>
              <w:widowControl/>
              <w:jc w:val="left"/>
              <w:rPr>
                <w:rFonts w:ascii="仿宋_GB2312" w:hAnsi="仿宋_GB2312" w:eastAsia="仿宋_GB2312" w:cs="仿宋_GB2312"/>
                <w:kern w:val="0"/>
                <w:sz w:val="22"/>
                <w:szCs w:val="22"/>
              </w:rPr>
            </w:pPr>
          </w:p>
        </w:tc>
        <w:tc>
          <w:tcPr>
            <w:tcW w:w="3075" w:type="dxa"/>
            <w:tcBorders>
              <w:tl2br w:val="nil"/>
              <w:tr2bl w:val="nil"/>
            </w:tcBorders>
            <w:shd w:val="clear" w:color="auto" w:fill="auto"/>
            <w:vAlign w:val="center"/>
          </w:tcPr>
          <w:p>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外语成绩</w:t>
            </w:r>
          </w:p>
        </w:tc>
        <w:tc>
          <w:tcPr>
            <w:tcW w:w="8243"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六级≥425分：</w:t>
            </w: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0"/>
                <w:sz w:val="24"/>
                <w:szCs w:val="24"/>
              </w:rPr>
              <w:t>分</w:t>
            </w:r>
          </w:p>
        </w:tc>
      </w:tr>
    </w:tbl>
    <w:p>
      <w:pPr>
        <w:spacing w:line="20" w:lineRule="exact"/>
        <w:rPr>
          <w:rFonts w:ascii="仿宋_GB2312" w:hAnsi="仿宋_GB2312" w:eastAsia="仿宋_GB2312" w:cs="仿宋_GB2312"/>
          <w:color w:val="FF0000"/>
        </w:rPr>
      </w:pPr>
    </w:p>
    <w:sectPr>
      <w:pgSz w:w="16838" w:h="11906" w:orient="landscape"/>
      <w:pgMar w:top="1134" w:right="1134" w:bottom="850" w:left="141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AyMTZhMGU2ZmJmNGVlZWNkYWM5NTg4YmVmMzEzMGEifQ=="/>
  </w:docVars>
  <w:rsids>
    <w:rsidRoot w:val="00DC4FCE"/>
    <w:rsid w:val="00040BA2"/>
    <w:rsid w:val="000435EE"/>
    <w:rsid w:val="00060407"/>
    <w:rsid w:val="00061F31"/>
    <w:rsid w:val="000A0A36"/>
    <w:rsid w:val="000A2E94"/>
    <w:rsid w:val="00127942"/>
    <w:rsid w:val="00131829"/>
    <w:rsid w:val="00141359"/>
    <w:rsid w:val="0015717B"/>
    <w:rsid w:val="001B39E8"/>
    <w:rsid w:val="001C309E"/>
    <w:rsid w:val="002321A6"/>
    <w:rsid w:val="00246F23"/>
    <w:rsid w:val="002A4099"/>
    <w:rsid w:val="002D0267"/>
    <w:rsid w:val="002D492D"/>
    <w:rsid w:val="002D4EB2"/>
    <w:rsid w:val="002D4F74"/>
    <w:rsid w:val="00310A73"/>
    <w:rsid w:val="003137EF"/>
    <w:rsid w:val="003417DF"/>
    <w:rsid w:val="003863A9"/>
    <w:rsid w:val="003D406C"/>
    <w:rsid w:val="003D63CE"/>
    <w:rsid w:val="003E35E1"/>
    <w:rsid w:val="003F18AB"/>
    <w:rsid w:val="00406727"/>
    <w:rsid w:val="004921BC"/>
    <w:rsid w:val="004D7E3C"/>
    <w:rsid w:val="004E12FC"/>
    <w:rsid w:val="005039DE"/>
    <w:rsid w:val="00544A73"/>
    <w:rsid w:val="005921E3"/>
    <w:rsid w:val="005F0D09"/>
    <w:rsid w:val="005F2934"/>
    <w:rsid w:val="006A514B"/>
    <w:rsid w:val="00746192"/>
    <w:rsid w:val="00760209"/>
    <w:rsid w:val="007A5EF4"/>
    <w:rsid w:val="007C3044"/>
    <w:rsid w:val="007F7645"/>
    <w:rsid w:val="00811B0B"/>
    <w:rsid w:val="00815C7F"/>
    <w:rsid w:val="00833E47"/>
    <w:rsid w:val="008648DE"/>
    <w:rsid w:val="00877CC6"/>
    <w:rsid w:val="008972A1"/>
    <w:rsid w:val="008B4E83"/>
    <w:rsid w:val="008C0296"/>
    <w:rsid w:val="00934B4A"/>
    <w:rsid w:val="00960F14"/>
    <w:rsid w:val="009648E3"/>
    <w:rsid w:val="00966ABA"/>
    <w:rsid w:val="00987034"/>
    <w:rsid w:val="009C0D0E"/>
    <w:rsid w:val="009D554E"/>
    <w:rsid w:val="00A67C5B"/>
    <w:rsid w:val="00A67E52"/>
    <w:rsid w:val="00A755AC"/>
    <w:rsid w:val="00AA2671"/>
    <w:rsid w:val="00AC082B"/>
    <w:rsid w:val="00AC6E36"/>
    <w:rsid w:val="00AD6B73"/>
    <w:rsid w:val="00B16AD3"/>
    <w:rsid w:val="00B265BD"/>
    <w:rsid w:val="00B51EC5"/>
    <w:rsid w:val="00B662B7"/>
    <w:rsid w:val="00B805A5"/>
    <w:rsid w:val="00B877B5"/>
    <w:rsid w:val="00BA6CFA"/>
    <w:rsid w:val="00BA7A95"/>
    <w:rsid w:val="00BE20FD"/>
    <w:rsid w:val="00BE4015"/>
    <w:rsid w:val="00C5218F"/>
    <w:rsid w:val="00DB5178"/>
    <w:rsid w:val="00DC4FCE"/>
    <w:rsid w:val="00E126D8"/>
    <w:rsid w:val="00E349E1"/>
    <w:rsid w:val="00E66A00"/>
    <w:rsid w:val="00F12B8D"/>
    <w:rsid w:val="00F17274"/>
    <w:rsid w:val="00F27085"/>
    <w:rsid w:val="017D1035"/>
    <w:rsid w:val="02D35E88"/>
    <w:rsid w:val="052A53FB"/>
    <w:rsid w:val="06097575"/>
    <w:rsid w:val="06B85FD6"/>
    <w:rsid w:val="06E11AE9"/>
    <w:rsid w:val="06EF349E"/>
    <w:rsid w:val="072D7454"/>
    <w:rsid w:val="08251549"/>
    <w:rsid w:val="09D462E3"/>
    <w:rsid w:val="0AAC240E"/>
    <w:rsid w:val="0B532C7A"/>
    <w:rsid w:val="0E4868F2"/>
    <w:rsid w:val="0E9E29B6"/>
    <w:rsid w:val="112E1DCF"/>
    <w:rsid w:val="13636511"/>
    <w:rsid w:val="157717BB"/>
    <w:rsid w:val="16D74CB7"/>
    <w:rsid w:val="18891D97"/>
    <w:rsid w:val="18E5190D"/>
    <w:rsid w:val="192E77A4"/>
    <w:rsid w:val="19FF3142"/>
    <w:rsid w:val="1B650AE3"/>
    <w:rsid w:val="1DE55F0B"/>
    <w:rsid w:val="1E854FF8"/>
    <w:rsid w:val="203A0F17"/>
    <w:rsid w:val="245711E5"/>
    <w:rsid w:val="27F82CDF"/>
    <w:rsid w:val="29F64FFC"/>
    <w:rsid w:val="2B3C3CA2"/>
    <w:rsid w:val="2B911481"/>
    <w:rsid w:val="2BD870AF"/>
    <w:rsid w:val="2F6473A0"/>
    <w:rsid w:val="2F6C023B"/>
    <w:rsid w:val="311D7312"/>
    <w:rsid w:val="31D23019"/>
    <w:rsid w:val="31EF6F01"/>
    <w:rsid w:val="33ED7470"/>
    <w:rsid w:val="359E1884"/>
    <w:rsid w:val="360D5BA8"/>
    <w:rsid w:val="363870C8"/>
    <w:rsid w:val="379629EF"/>
    <w:rsid w:val="384A30E3"/>
    <w:rsid w:val="394F0CB6"/>
    <w:rsid w:val="397877DC"/>
    <w:rsid w:val="3A600677"/>
    <w:rsid w:val="3B5308F4"/>
    <w:rsid w:val="3C6B187A"/>
    <w:rsid w:val="3C98701C"/>
    <w:rsid w:val="3D8726E3"/>
    <w:rsid w:val="3ECB1B39"/>
    <w:rsid w:val="3F2521B4"/>
    <w:rsid w:val="3FE907FD"/>
    <w:rsid w:val="4162081D"/>
    <w:rsid w:val="43695B42"/>
    <w:rsid w:val="44D45FF0"/>
    <w:rsid w:val="46294274"/>
    <w:rsid w:val="4A3F3955"/>
    <w:rsid w:val="4BDA1A85"/>
    <w:rsid w:val="4C7A7DEA"/>
    <w:rsid w:val="4C8F19B5"/>
    <w:rsid w:val="4C904488"/>
    <w:rsid w:val="4DB52ADC"/>
    <w:rsid w:val="4E832A53"/>
    <w:rsid w:val="4F756840"/>
    <w:rsid w:val="509C604E"/>
    <w:rsid w:val="54447A47"/>
    <w:rsid w:val="54C17E31"/>
    <w:rsid w:val="54F621D1"/>
    <w:rsid w:val="567B3BEA"/>
    <w:rsid w:val="59633641"/>
    <w:rsid w:val="596A466D"/>
    <w:rsid w:val="59E44F73"/>
    <w:rsid w:val="5A6C4CE3"/>
    <w:rsid w:val="5B527E00"/>
    <w:rsid w:val="5CB169DD"/>
    <w:rsid w:val="5DDC3F2E"/>
    <w:rsid w:val="5FBA3DFB"/>
    <w:rsid w:val="5FC175CB"/>
    <w:rsid w:val="6094289E"/>
    <w:rsid w:val="60B82A30"/>
    <w:rsid w:val="60EC075A"/>
    <w:rsid w:val="61C9308A"/>
    <w:rsid w:val="620677CB"/>
    <w:rsid w:val="62FF6328"/>
    <w:rsid w:val="632717A7"/>
    <w:rsid w:val="6632293D"/>
    <w:rsid w:val="68C1269E"/>
    <w:rsid w:val="68F77B9A"/>
    <w:rsid w:val="692103D4"/>
    <w:rsid w:val="6A8F73ED"/>
    <w:rsid w:val="6B442461"/>
    <w:rsid w:val="6D2F407A"/>
    <w:rsid w:val="6DC72505"/>
    <w:rsid w:val="6ED21161"/>
    <w:rsid w:val="701F7AF1"/>
    <w:rsid w:val="70357BF9"/>
    <w:rsid w:val="71DC0D6E"/>
    <w:rsid w:val="71DE6849"/>
    <w:rsid w:val="722F3462"/>
    <w:rsid w:val="73AA6208"/>
    <w:rsid w:val="73C57779"/>
    <w:rsid w:val="74A72748"/>
    <w:rsid w:val="761262E7"/>
    <w:rsid w:val="76FD6F97"/>
    <w:rsid w:val="77FE2FC7"/>
    <w:rsid w:val="790068CB"/>
    <w:rsid w:val="795D1F6F"/>
    <w:rsid w:val="79782905"/>
    <w:rsid w:val="79D02F8C"/>
    <w:rsid w:val="7AA80FC8"/>
    <w:rsid w:val="7BF7618F"/>
    <w:rsid w:val="7C1E59E5"/>
    <w:rsid w:val="7D520A41"/>
    <w:rsid w:val="7E7A7678"/>
    <w:rsid w:val="7EBC08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semiHidden/>
    <w:qFormat/>
    <w:uiPriority w:val="99"/>
    <w:rPr>
      <w:rFonts w:ascii="Times New Roman" w:hAnsi="Times New Roman" w:eastAsia="宋体" w:cs="Times New Roman"/>
      <w:sz w:val="18"/>
      <w:szCs w:val="18"/>
    </w:rPr>
  </w:style>
  <w:style w:type="character" w:customStyle="1" w:styleId="8">
    <w:name w:val="页脚 字符"/>
    <w:basedOn w:val="6"/>
    <w:link w:val="3"/>
    <w:semiHidden/>
    <w:qFormat/>
    <w:uiPriority w:val="99"/>
    <w:rPr>
      <w:rFonts w:ascii="Times New Roman" w:hAnsi="Times New Roman" w:eastAsia="宋体" w:cs="Times New Roman"/>
      <w:sz w:val="18"/>
      <w:szCs w:val="18"/>
    </w:rPr>
  </w:style>
  <w:style w:type="character" w:customStyle="1" w:styleId="9">
    <w:name w:val="批注框文本 字符"/>
    <w:basedOn w:val="6"/>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微软用户</Company>
  <Pages>2</Pages>
  <Words>1229</Words>
  <Characters>1355</Characters>
  <Lines>7</Lines>
  <Paragraphs>2</Paragraphs>
  <TotalTime>61</TotalTime>
  <ScaleCrop>false</ScaleCrop>
  <LinksUpToDate>false</LinksUpToDate>
  <CharactersWithSpaces>1416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2025-08-19T16:00:00Z</dcterms:created>
  <dc:creator>Administrator</dc:creator>
  <cp:lastModifiedBy>Administrator</cp:lastModifiedBy>
  <cp:lastPrinted>2026-09-07T02:10:06Z</cp:lastPrinted>
  <dcterms:modified xsi:type="dcterms:W3CDTF">2026-09-07T03:08:39Z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427A8B31E6644953A535D68BB5050BBF_13</vt:lpwstr>
  </property>
  <property fmtid="{D5CDD505-2E9C-101B-9397-08002B2CF9AE}" pid="4" name="KSOTemplateDocerSaveRecord">
    <vt:lpwstr>eyJoZGlkIjoiODA0ZDY1OTExZWZiMjFkNjNmNWZjZjVhMzRkOTUzM2MiLCJ1c2VySWQiOiI1OTM0NjgzODIifQ==</vt:lpwstr>
  </property>
</Properties>
</file>